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C-ISA106</w:t>
      </w:r>
      <w:r>
        <w:t xml:space="preserve"> </w:t>
      </w:r>
      <w:r>
        <w:t xml:space="preserve">Automation</w:t>
      </w:r>
      <w:r>
        <w:t xml:space="preserve"> </w:t>
      </w:r>
      <w:r>
        <w:t xml:space="preserve">Styles</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80"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C-ISA106 Automation Styles</w:t>
      </w:r>
      <w:r>
        <w:t xml:space="preserve"> </w:t>
      </w:r>
      <w:r>
        <w:t xml:space="preserve">is reviewed</w:t>
      </w:r>
    </w:p>
    <w:bookmarkStart w:id="23" w:name="overview"/>
    <w:p>
      <w:pPr>
        <w:pStyle w:val="Heading2"/>
      </w:pPr>
      <w:r>
        <w:t xml:space="preserve">1.1 Overview</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isa106-standard"/>
    <w:p>
      <w:pPr>
        <w:pStyle w:val="Heading2"/>
      </w:pPr>
      <w:r>
        <w:t xml:space="preserve">1.5 ISA106 Standard</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isa106-standard-1"/>
    <w:p>
      <w:pPr>
        <w:pStyle w:val="Heading2"/>
      </w:pPr>
      <w:r>
        <w:t xml:space="preserve">1.6 ISA106 Standard</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isa106-standard-2"/>
    <w:p>
      <w:pPr>
        <w:pStyle w:val="Heading2"/>
      </w:pPr>
      <w:r>
        <w:t xml:space="preserve">1.7 ISA106 Standard</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Xae3a7cd7d527de79aa14f9faf2595373802a84f"/>
    <w:p>
      <w:pPr>
        <w:pStyle w:val="Heading2"/>
      </w:pPr>
      <w:r>
        <w:t xml:space="preserve">1.8 ISA106 Standard - Style of Automation Definition</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Xf239ad333b201707eb1c005a3acba8765aac5bb"/>
    <w:p>
      <w:pPr>
        <w:pStyle w:val="Heading2"/>
      </w:pPr>
      <w:r>
        <w:t xml:space="preserve">1.9 ISA106 Standard - Style of Automation Definition</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X421b5f0ad92ec4afe3231f6ab90a09edc0f50d8"/>
    <w:p>
      <w:pPr>
        <w:pStyle w:val="Heading2"/>
      </w:pPr>
      <w:r>
        <w:t xml:space="preserve">1.10 ISA106 Standard - Style of Automation Definition</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Xabfc8c641c401941f1a3f96a29b96bdf3cb3890"/>
    <w:p>
      <w:pPr>
        <w:pStyle w:val="Heading2"/>
      </w:pPr>
      <w:r>
        <w:t xml:space="preserve">1.11 ISA106 Standard - Style of Automation Definition</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X3873aa932ac917f1cb66a4ff15aaf92c165a895"/>
    <w:p>
      <w:pPr>
        <w:pStyle w:val="Heading2"/>
      </w:pPr>
      <w:r>
        <w:t xml:space="preserve">1.12 ISA106 Standard - Style of Automation Definition</w:t>
      </w:r>
    </w:p>
    <w:p>
      <w:pPr>
        <w:pStyle w:val="FirstParagraph"/>
      </w:pPr>
      <w:r>
        <w:t xml:space="preserve">Please review the following slide:</w:t>
      </w:r>
      <w:r>
        <w:t xml:space="preserve"> </w:t>
      </w: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Start w:id="71" w:name="X0350bdc547a7fa28173aa285b5691030fda8548"/>
    <w:p>
      <w:pPr>
        <w:pStyle w:val="Heading2"/>
      </w:pPr>
      <w:r>
        <w:t xml:space="preserve">1.13 ISA106 Standard - Style of Automation Definition</w:t>
      </w:r>
    </w:p>
    <w:p>
      <w:pPr>
        <w:pStyle w:val="FirstParagraph"/>
      </w:pPr>
      <w:r>
        <w:t xml:space="preserve">Please review the following slide:</w:t>
      </w:r>
      <w:r>
        <w:t xml:space="preserve"> </w:t>
      </w:r>
      <w:r>
        <w:drawing>
          <wp:inline>
            <wp:extent cx="5334000" cy="3000375"/>
            <wp:effectExtent b="0" l="0" r="0" t="0"/>
            <wp:docPr descr="Slide 13" title="" id="69" name="Picture"/>
            <a:graphic>
              <a:graphicData uri="http://schemas.openxmlformats.org/drawingml/2006/picture">
                <pic:pic>
                  <pic:nvPicPr>
                    <pic:cNvPr descr="Images/Slide13.png" id="7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1"/>
    <w:bookmarkStart w:id="75" w:name="isa106-standard---state-based-control"/>
    <w:p>
      <w:pPr>
        <w:pStyle w:val="Heading2"/>
      </w:pPr>
      <w:r>
        <w:t xml:space="preserve">1.14 ISA106 Standard - State-Based Control</w:t>
      </w:r>
    </w:p>
    <w:p>
      <w:pPr>
        <w:pStyle w:val="FirstParagraph"/>
      </w:pPr>
      <w:r>
        <w:t xml:space="preserve">Please review the following slide:</w:t>
      </w:r>
      <w:r>
        <w:t xml:space="preserve"> </w:t>
      </w:r>
      <w:r>
        <w:drawing>
          <wp:inline>
            <wp:extent cx="5334000" cy="3000375"/>
            <wp:effectExtent b="0" l="0" r="0" t="0"/>
            <wp:docPr descr="Slide 14" title="" id="73" name="Picture"/>
            <a:graphic>
              <a:graphicData uri="http://schemas.openxmlformats.org/drawingml/2006/picture">
                <pic:pic>
                  <pic:nvPicPr>
                    <pic:cNvPr descr="Images/Slide14.png" id="74" name="Picture"/>
                    <pic:cNvPicPr>
                      <a:picLocks noChangeArrowheads="1" noChangeAspect="1"/>
                    </pic:cNvPicPr>
                  </pic:nvPicPr>
                  <pic:blipFill>
                    <a:blip r:embed="rId7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5"/>
    <w:bookmarkStart w:id="79" w:name="question-and-answers"/>
    <w:p>
      <w:pPr>
        <w:pStyle w:val="Heading2"/>
      </w:pPr>
      <w:r>
        <w:t xml:space="preserve">1.15 Question and Answers</w:t>
      </w:r>
    </w:p>
    <w:p>
      <w:pPr>
        <w:pStyle w:val="FirstParagraph"/>
      </w:pPr>
      <w:r>
        <w:t xml:space="preserve">Please review the following slide:</w:t>
      </w:r>
      <w:r>
        <w:t xml:space="preserve"> </w:t>
      </w:r>
      <w:r>
        <w:drawing>
          <wp:inline>
            <wp:extent cx="5334000" cy="3000375"/>
            <wp:effectExtent b="0" l="0" r="0" t="0"/>
            <wp:docPr descr="Slide 15" title="" id="77" name="Picture"/>
            <a:graphic>
              <a:graphicData uri="http://schemas.openxmlformats.org/drawingml/2006/picture">
                <pic:pic>
                  <pic:nvPicPr>
                    <pic:cNvPr descr="Images/Slide15.png" id="78"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9"/>
    <w:bookmarkEnd w:id="8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C-ISA106 Automation Styles</dc:title>
  <dc:creator>CTRL Designer LLC</dc:creator>
  <cp:keywords/>
  <dcterms:created xsi:type="dcterms:W3CDTF">2024-10-10T10:02:07Z</dcterms:created>
  <dcterms:modified xsi:type="dcterms:W3CDTF">2024-10-10T10:02:07Z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